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10B82" w:rsidP="00F10B82">
      <w:pPr>
        <w:jc w:val="center"/>
      </w:pPr>
      <w:bookmarkStart w:id="0" w:name="_GoBack"/>
      <w:bookmarkEnd w:id="0"/>
      <w:r>
        <w:t>社会福祉法人　サロベツ福祉会</w:t>
      </w:r>
    </w:p>
    <w:p w:rsidR="00F10B82" w:rsidRPr="00F10B82" w:rsidRDefault="00F10B82" w:rsidP="00F10B82">
      <w:pPr>
        <w:jc w:val="center"/>
        <w:rPr>
          <w:sz w:val="24"/>
          <w:szCs w:val="24"/>
        </w:rPr>
      </w:pPr>
      <w:r w:rsidRPr="00F10B82">
        <w:rPr>
          <w:sz w:val="24"/>
          <w:szCs w:val="24"/>
        </w:rPr>
        <w:t>各種ハラスメント防止・対策要綱</w:t>
      </w:r>
    </w:p>
    <w:p w:rsidR="00F10B82" w:rsidRDefault="00F10B82"/>
    <w:p w:rsidR="00F10B82" w:rsidRDefault="00F10B82">
      <w:r>
        <w:t xml:space="preserve">　</w:t>
      </w:r>
      <w:r>
        <w:rPr>
          <w:rFonts w:hint="eastAsia"/>
        </w:rPr>
        <w:t>(</w:t>
      </w:r>
      <w:r>
        <w:rPr>
          <w:rFonts w:hint="eastAsia"/>
        </w:rPr>
        <w:t>目的</w:t>
      </w:r>
      <w:r>
        <w:t>)</w:t>
      </w:r>
    </w:p>
    <w:p w:rsidR="00F10B82" w:rsidRDefault="00F10B82" w:rsidP="009C119B">
      <w:pPr>
        <w:ind w:left="210" w:hangingChars="100" w:hanging="210"/>
      </w:pPr>
      <w:r>
        <w:t>第</w:t>
      </w:r>
      <w:r>
        <w:t>1</w:t>
      </w:r>
      <w:r>
        <w:t>条　労働施策の総合的な推進並びに労働者の雇用の安定及び職業生活の充実等に関する法律</w:t>
      </w:r>
      <w:r>
        <w:rPr>
          <w:rFonts w:hint="eastAsia"/>
        </w:rPr>
        <w:t>(</w:t>
      </w:r>
      <w:r>
        <w:rPr>
          <w:rFonts w:hint="eastAsia"/>
        </w:rPr>
        <w:t>以下「労働施策総合</w:t>
      </w:r>
      <w:r w:rsidR="009C119B">
        <w:rPr>
          <w:rFonts w:hint="eastAsia"/>
        </w:rPr>
        <w:t>推進法</w:t>
      </w:r>
      <w:r>
        <w:rPr>
          <w:rFonts w:hint="eastAsia"/>
        </w:rPr>
        <w:t>」</w:t>
      </w:r>
      <w:r w:rsidR="009C119B">
        <w:rPr>
          <w:rFonts w:hint="eastAsia"/>
        </w:rPr>
        <w:t>という。</w:t>
      </w:r>
      <w:r>
        <w:t>)</w:t>
      </w:r>
      <w:r w:rsidR="009C119B">
        <w:t>が、令和元年度に改正され、職場におけるパワーハラスメント防止対策が事業主に義務付けられたのを受け、当法人における各種ハラスメントの防止及び対策を規程することを目的とする。</w:t>
      </w:r>
    </w:p>
    <w:p w:rsidR="00F10B82" w:rsidRDefault="009C119B">
      <w:r>
        <w:t xml:space="preserve">　</w:t>
      </w:r>
      <w:r>
        <w:rPr>
          <w:rFonts w:hint="eastAsia"/>
        </w:rPr>
        <w:t>(</w:t>
      </w:r>
      <w:r>
        <w:rPr>
          <w:rFonts w:hint="eastAsia"/>
        </w:rPr>
        <w:t>ハラスメントの種類</w:t>
      </w:r>
      <w:r>
        <w:t>)</w:t>
      </w:r>
    </w:p>
    <w:p w:rsidR="00F10B82" w:rsidRDefault="009C119B">
      <w:r>
        <w:t>第</w:t>
      </w:r>
      <w:r>
        <w:t>2</w:t>
      </w:r>
      <w:r>
        <w:t>条　この要綱で定める各種ハラスメントは次のとおりとする。</w:t>
      </w:r>
    </w:p>
    <w:p w:rsidR="00F10B82" w:rsidRDefault="009C119B" w:rsidP="009C119B">
      <w:pPr>
        <w:pStyle w:val="a3"/>
        <w:numPr>
          <w:ilvl w:val="0"/>
          <w:numId w:val="1"/>
        </w:numPr>
        <w:ind w:leftChars="0"/>
      </w:pPr>
      <w:r>
        <w:t>職場におけるパワーハラスメント</w:t>
      </w:r>
    </w:p>
    <w:p w:rsidR="009C119B" w:rsidRDefault="009C119B" w:rsidP="009C119B">
      <w:pPr>
        <w:pStyle w:val="a3"/>
        <w:numPr>
          <w:ilvl w:val="0"/>
          <w:numId w:val="1"/>
        </w:numPr>
        <w:ind w:leftChars="0"/>
      </w:pPr>
      <w:r>
        <w:t>職場におけるセクシュアルハラスメント</w:t>
      </w:r>
    </w:p>
    <w:p w:rsidR="009C119B" w:rsidRDefault="009C119B" w:rsidP="009C119B">
      <w:pPr>
        <w:pStyle w:val="a3"/>
        <w:numPr>
          <w:ilvl w:val="0"/>
          <w:numId w:val="1"/>
        </w:numPr>
        <w:ind w:leftChars="0"/>
      </w:pPr>
      <w:r>
        <w:t>職場における妊婦・出産・育児休業等に関するハラスメント</w:t>
      </w:r>
    </w:p>
    <w:p w:rsidR="00F10B82" w:rsidRDefault="009C119B">
      <w:r>
        <w:t xml:space="preserve">　</w:t>
      </w:r>
      <w:r>
        <w:rPr>
          <w:rFonts w:hint="eastAsia"/>
        </w:rPr>
        <w:t>(</w:t>
      </w:r>
      <w:r>
        <w:rPr>
          <w:rFonts w:hint="eastAsia"/>
        </w:rPr>
        <w:t>ハラスメントの内容</w:t>
      </w:r>
      <w:r>
        <w:t>)</w:t>
      </w:r>
    </w:p>
    <w:p w:rsidR="00F10B82" w:rsidRDefault="009C119B">
      <w:r>
        <w:t>第</w:t>
      </w:r>
      <w:r>
        <w:t>3</w:t>
      </w:r>
      <w:r>
        <w:t xml:space="preserve">条　</w:t>
      </w:r>
      <w:r w:rsidR="00A767A5">
        <w:t>前条に規定するハラスメントの内容は次のとおりとする。</w:t>
      </w:r>
    </w:p>
    <w:p w:rsidR="00A767A5" w:rsidRDefault="00A767A5" w:rsidP="00A767A5">
      <w:pPr>
        <w:pStyle w:val="a3"/>
        <w:numPr>
          <w:ilvl w:val="0"/>
          <w:numId w:val="2"/>
        </w:numPr>
        <w:ind w:leftChars="0"/>
      </w:pPr>
      <w:r>
        <w:rPr>
          <w:rFonts w:hint="eastAsia"/>
        </w:rPr>
        <w:t>職場におけるパワーハラスメント</w:t>
      </w:r>
    </w:p>
    <w:p w:rsidR="00F10B82" w:rsidRPr="00A767A5" w:rsidRDefault="00A767A5" w:rsidP="00A767A5">
      <w:pPr>
        <w:pStyle w:val="a3"/>
        <w:numPr>
          <w:ilvl w:val="1"/>
          <w:numId w:val="2"/>
        </w:numPr>
        <w:ind w:leftChars="0"/>
      </w:pPr>
      <w:r>
        <w:rPr>
          <w:rFonts w:ascii="ＭＳ 明朝" w:eastAsia="ＭＳ 明朝" w:hAnsi="ＭＳ 明朝" w:cs="ＭＳ 明朝" w:hint="eastAsia"/>
        </w:rPr>
        <w:t>優越的な関係を背景とした言動</w:t>
      </w:r>
    </w:p>
    <w:p w:rsidR="00A767A5" w:rsidRPr="00A767A5" w:rsidRDefault="00A767A5" w:rsidP="00A767A5">
      <w:pPr>
        <w:pStyle w:val="a3"/>
        <w:numPr>
          <w:ilvl w:val="1"/>
          <w:numId w:val="2"/>
        </w:numPr>
        <w:ind w:leftChars="0"/>
      </w:pPr>
      <w:r>
        <w:rPr>
          <w:rFonts w:ascii="ＭＳ 明朝" w:eastAsia="ＭＳ 明朝" w:hAnsi="ＭＳ 明朝" w:cs="ＭＳ 明朝"/>
        </w:rPr>
        <w:t>業務上必要かつ相当な範囲を超えたもの</w:t>
      </w:r>
    </w:p>
    <w:p w:rsidR="00A767A5" w:rsidRDefault="00A767A5" w:rsidP="00A767A5">
      <w:pPr>
        <w:pStyle w:val="a3"/>
        <w:numPr>
          <w:ilvl w:val="1"/>
          <w:numId w:val="2"/>
        </w:numPr>
        <w:ind w:leftChars="0"/>
      </w:pPr>
      <w:r>
        <w:rPr>
          <w:rFonts w:ascii="ＭＳ 明朝" w:eastAsia="ＭＳ 明朝" w:hAnsi="ＭＳ 明朝" w:cs="ＭＳ 明朝"/>
        </w:rPr>
        <w:t>労働者の就業環境が害される</w:t>
      </w:r>
    </w:p>
    <w:p w:rsidR="00F10B82" w:rsidRDefault="00A767A5">
      <w:r>
        <w:t xml:space="preserve">　　　　　以上の</w:t>
      </w:r>
      <w:r>
        <w:t>3</w:t>
      </w:r>
      <w:r>
        <w:t>つの要素を全て満たすものをいう</w:t>
      </w:r>
      <w:r w:rsidR="00952B91">
        <w:t>。</w:t>
      </w:r>
    </w:p>
    <w:p w:rsidR="00F10B82" w:rsidRDefault="00A767A5" w:rsidP="00A767A5">
      <w:pPr>
        <w:pStyle w:val="a3"/>
        <w:numPr>
          <w:ilvl w:val="0"/>
          <w:numId w:val="2"/>
        </w:numPr>
        <w:ind w:leftChars="0"/>
      </w:pPr>
      <w:r>
        <w:rPr>
          <w:rFonts w:hint="eastAsia"/>
        </w:rPr>
        <w:t>職場におけるセクシュアルハラスメント</w:t>
      </w:r>
    </w:p>
    <w:p w:rsidR="00F10B82" w:rsidRDefault="00A767A5" w:rsidP="00A767A5">
      <w:pPr>
        <w:ind w:left="990"/>
      </w:pPr>
      <w:r>
        <w:t>「職場」において行われる「労働者」の意に反する「性的な言動」に対する労働者の対応によりその労働者が労働条件について不利益を受けたり、「性的な言動」により就業環境が害されることをいう。</w:t>
      </w:r>
      <w:r w:rsidR="00952B91">
        <w:t>「対価型」と「環境型」がある。</w:t>
      </w:r>
    </w:p>
    <w:p w:rsidR="00A767A5" w:rsidRDefault="00952B91" w:rsidP="00952B91">
      <w:pPr>
        <w:pStyle w:val="a3"/>
        <w:numPr>
          <w:ilvl w:val="0"/>
          <w:numId w:val="2"/>
        </w:numPr>
        <w:ind w:leftChars="0"/>
      </w:pPr>
      <w:r>
        <w:t>職場における妊娠・出産・育児休業等に関するハラスメント</w:t>
      </w:r>
    </w:p>
    <w:p w:rsidR="00A767A5" w:rsidRDefault="00952B91" w:rsidP="00952B91">
      <w:pPr>
        <w:ind w:left="990"/>
      </w:pPr>
      <w:r>
        <w:t>「職場」において行われる上司・同僚からの言動</w:t>
      </w:r>
      <w:r>
        <w:rPr>
          <w:rFonts w:hint="eastAsia"/>
        </w:rPr>
        <w:t>(</w:t>
      </w:r>
      <w:r>
        <w:rPr>
          <w:rFonts w:hint="eastAsia"/>
        </w:rPr>
        <w:t>妊娠・出産したこと、育児休業等の利用に関する言動</w:t>
      </w:r>
      <w:r>
        <w:t>)</w:t>
      </w:r>
      <w:r>
        <w:t>により、妊娠・出産した「女性労働者」や育児休業等を申出・取得した「男女労働者」の就業環境が害されることをいう。</w:t>
      </w:r>
    </w:p>
    <w:p w:rsidR="00A767A5" w:rsidRDefault="00952B91">
      <w:r>
        <w:t xml:space="preserve">　</w:t>
      </w:r>
      <w:r>
        <w:rPr>
          <w:rFonts w:hint="eastAsia"/>
        </w:rPr>
        <w:t>(</w:t>
      </w:r>
      <w:r>
        <w:rPr>
          <w:rFonts w:hint="eastAsia"/>
        </w:rPr>
        <w:t>ハラスメント防止のための関係者の責務</w:t>
      </w:r>
      <w:r>
        <w:t>)</w:t>
      </w:r>
    </w:p>
    <w:p w:rsidR="00A767A5" w:rsidRDefault="00952B91">
      <w:r>
        <w:t>第</w:t>
      </w:r>
      <w:r>
        <w:t>4</w:t>
      </w:r>
      <w:r>
        <w:t>条　ハラスメントを防止</w:t>
      </w:r>
      <w:r w:rsidR="009A41F2">
        <w:t>するために、事業主は次の責務を負う。</w:t>
      </w:r>
    </w:p>
    <w:p w:rsidR="00A767A5" w:rsidRDefault="009A41F2" w:rsidP="009A41F2">
      <w:pPr>
        <w:pStyle w:val="a3"/>
        <w:numPr>
          <w:ilvl w:val="0"/>
          <w:numId w:val="3"/>
        </w:numPr>
        <w:ind w:leftChars="0"/>
      </w:pPr>
      <w:r>
        <w:t>職場におけるハラスメントを行ってはならないこと、その他職場におけるハラスメントに起因する問題に対する当法人の労働者の関心と理解を深めること。</w:t>
      </w:r>
    </w:p>
    <w:p w:rsidR="009A41F2" w:rsidRDefault="009A41F2" w:rsidP="009A41F2">
      <w:pPr>
        <w:pStyle w:val="a3"/>
        <w:numPr>
          <w:ilvl w:val="0"/>
          <w:numId w:val="3"/>
        </w:numPr>
        <w:ind w:leftChars="0"/>
      </w:pPr>
      <w:r>
        <w:t>当法人の労働者が他の労働者に対する言動に必要な注意を払うよう、研修その他の必要な配慮をすること。</w:t>
      </w:r>
    </w:p>
    <w:p w:rsidR="009A41F2" w:rsidRDefault="009A41F2" w:rsidP="009A41F2">
      <w:pPr>
        <w:pStyle w:val="a3"/>
        <w:numPr>
          <w:ilvl w:val="0"/>
          <w:numId w:val="3"/>
        </w:numPr>
        <w:ind w:leftChars="0"/>
      </w:pPr>
      <w:r>
        <w:t>事業主自信が、ハラスメント問題に関する理解と関心を深め、労働者に対する言動に必要な注意を払うこと。</w:t>
      </w:r>
    </w:p>
    <w:p w:rsidR="00A767A5" w:rsidRDefault="009A41F2">
      <w:r>
        <w:t>2</w:t>
      </w:r>
      <w:r>
        <w:t xml:space="preserve">　ハラスメントを防止するために、当法人労働者は次の責務を負う。</w:t>
      </w:r>
    </w:p>
    <w:p w:rsidR="00A767A5" w:rsidRDefault="009A41F2" w:rsidP="009A41F2">
      <w:pPr>
        <w:pStyle w:val="a3"/>
        <w:numPr>
          <w:ilvl w:val="0"/>
          <w:numId w:val="4"/>
        </w:numPr>
        <w:ind w:leftChars="0"/>
      </w:pPr>
      <w:r>
        <w:t>ハラスメント問題に関する理解と関心を深め、他の労働者に対する言動に必要な注意を払う事。</w:t>
      </w:r>
    </w:p>
    <w:p w:rsidR="009A41F2" w:rsidRDefault="009A41F2" w:rsidP="009A41F2">
      <w:pPr>
        <w:pStyle w:val="a3"/>
        <w:numPr>
          <w:ilvl w:val="0"/>
          <w:numId w:val="4"/>
        </w:numPr>
        <w:ind w:leftChars="0"/>
      </w:pPr>
      <w:r>
        <w:t>事業主の講ずる雇用管理上の措置に協力すること。</w:t>
      </w:r>
    </w:p>
    <w:p w:rsidR="00A767A5" w:rsidRDefault="00C56CCA">
      <w:r>
        <w:lastRenderedPageBreak/>
        <w:t xml:space="preserve">　</w:t>
      </w:r>
      <w:r>
        <w:rPr>
          <w:rFonts w:hint="eastAsia"/>
        </w:rPr>
        <w:t>(</w:t>
      </w:r>
      <w:r>
        <w:rPr>
          <w:rFonts w:hint="eastAsia"/>
        </w:rPr>
        <w:t>事業主が雇用管理上講ずべき措置等</w:t>
      </w:r>
      <w:r>
        <w:t>)</w:t>
      </w:r>
    </w:p>
    <w:p w:rsidR="00A767A5" w:rsidRDefault="00C56CCA">
      <w:r>
        <w:t>第</w:t>
      </w:r>
      <w:r>
        <w:t>5</w:t>
      </w:r>
      <w:r>
        <w:t>条　職場における各種ハラスメントを防止するために、事業主は次の措置を講じる。</w:t>
      </w:r>
    </w:p>
    <w:p w:rsidR="00A767A5" w:rsidRDefault="00C56CCA" w:rsidP="00C56CCA">
      <w:pPr>
        <w:pStyle w:val="a3"/>
        <w:numPr>
          <w:ilvl w:val="0"/>
          <w:numId w:val="6"/>
        </w:numPr>
        <w:ind w:leftChars="0"/>
      </w:pPr>
      <w:r>
        <w:rPr>
          <w:rFonts w:hint="eastAsia"/>
        </w:rPr>
        <w:t>事業主の方針の明確化及びその周知・啓発</w:t>
      </w:r>
    </w:p>
    <w:p w:rsidR="00C56CCA" w:rsidRDefault="00C56CCA" w:rsidP="00C56CCA">
      <w:pPr>
        <w:pStyle w:val="a3"/>
        <w:numPr>
          <w:ilvl w:val="0"/>
          <w:numId w:val="6"/>
        </w:numPr>
        <w:ind w:leftChars="0"/>
      </w:pPr>
      <w:r>
        <w:t>相談</w:t>
      </w:r>
      <w:r>
        <w:rPr>
          <w:rFonts w:hint="eastAsia"/>
        </w:rPr>
        <w:t>(</w:t>
      </w:r>
      <w:r>
        <w:rPr>
          <w:rFonts w:hint="eastAsia"/>
        </w:rPr>
        <w:t>苦情を含む</w:t>
      </w:r>
      <w:r>
        <w:t>)</w:t>
      </w:r>
      <w:r>
        <w:t>に応じ、適切に対応するために必要な体制の整備</w:t>
      </w:r>
    </w:p>
    <w:p w:rsidR="00C56CCA" w:rsidRDefault="00C56CCA" w:rsidP="00C56CCA">
      <w:pPr>
        <w:pStyle w:val="a3"/>
        <w:numPr>
          <w:ilvl w:val="0"/>
          <w:numId w:val="6"/>
        </w:numPr>
        <w:ind w:leftChars="0"/>
      </w:pPr>
      <w:r>
        <w:t>職場におけるハラスメントへの事後の迅速かつ適切な対応</w:t>
      </w:r>
    </w:p>
    <w:p w:rsidR="00C56CCA" w:rsidRDefault="00C56CCA" w:rsidP="00C56CCA">
      <w:pPr>
        <w:pStyle w:val="a3"/>
        <w:numPr>
          <w:ilvl w:val="0"/>
          <w:numId w:val="6"/>
        </w:numPr>
        <w:ind w:leftChars="0"/>
      </w:pPr>
      <w:r>
        <w:t>併せて講ずべき措置</w:t>
      </w:r>
      <w:r>
        <w:rPr>
          <w:rFonts w:hint="eastAsia"/>
        </w:rPr>
        <w:t>(</w:t>
      </w:r>
      <w:r>
        <w:rPr>
          <w:rFonts w:hint="eastAsia"/>
        </w:rPr>
        <w:t>プライバシー保護、不利益取扱いの禁止等</w:t>
      </w:r>
      <w:r>
        <w:t>)</w:t>
      </w:r>
    </w:p>
    <w:p w:rsidR="00A767A5" w:rsidRDefault="00C56CCA">
      <w:r>
        <w:t xml:space="preserve">　</w:t>
      </w:r>
      <w:r>
        <w:rPr>
          <w:rFonts w:hint="eastAsia"/>
        </w:rPr>
        <w:t>(</w:t>
      </w:r>
      <w:r>
        <w:rPr>
          <w:rFonts w:hint="eastAsia"/>
        </w:rPr>
        <w:t>相談窓口</w:t>
      </w:r>
      <w:r w:rsidR="007B1BB5">
        <w:rPr>
          <w:rFonts w:hint="eastAsia"/>
        </w:rPr>
        <w:t>・苦情解決</w:t>
      </w:r>
      <w:r w:rsidR="00F81D97">
        <w:rPr>
          <w:rFonts w:hint="eastAsia"/>
        </w:rPr>
        <w:t>委員会</w:t>
      </w:r>
      <w:r>
        <w:t>)</w:t>
      </w:r>
    </w:p>
    <w:p w:rsidR="00A767A5" w:rsidRDefault="00C56CCA" w:rsidP="007B1BB5">
      <w:pPr>
        <w:ind w:left="210" w:hangingChars="100" w:hanging="210"/>
      </w:pPr>
      <w:r>
        <w:t>第</w:t>
      </w:r>
      <w:r>
        <w:t>6</w:t>
      </w:r>
      <w:r>
        <w:t>条　各種ハラスメントの相談窓口</w:t>
      </w:r>
      <w:r w:rsidR="007B1BB5">
        <w:t>及び対応策を検討する機関として、当法人に設置する「苦情解決</w:t>
      </w:r>
      <w:r w:rsidR="00F81D97">
        <w:t>委員会</w:t>
      </w:r>
      <w:r w:rsidR="007B1BB5">
        <w:t>」を活用する。</w:t>
      </w:r>
    </w:p>
    <w:p w:rsidR="00A767A5" w:rsidRDefault="007B1BB5">
      <w:r>
        <w:t>2</w:t>
      </w:r>
      <w:r>
        <w:t xml:space="preserve">　苦情解決</w:t>
      </w:r>
      <w:r w:rsidR="00F81D97">
        <w:t>委員会</w:t>
      </w:r>
      <w:r>
        <w:t>は次の委員により構成する。</w:t>
      </w:r>
    </w:p>
    <w:p w:rsidR="00A767A5" w:rsidRDefault="00F81D97" w:rsidP="007B1BB5">
      <w:pPr>
        <w:pStyle w:val="a3"/>
        <w:numPr>
          <w:ilvl w:val="0"/>
          <w:numId w:val="7"/>
        </w:numPr>
        <w:ind w:leftChars="0"/>
      </w:pPr>
      <w:r>
        <w:t>委員長</w:t>
      </w:r>
      <w:r w:rsidR="007B1BB5">
        <w:t xml:space="preserve">　施設長</w:t>
      </w:r>
    </w:p>
    <w:p w:rsidR="007B1BB5" w:rsidRDefault="007B1BB5" w:rsidP="007B1BB5">
      <w:pPr>
        <w:pStyle w:val="a3"/>
        <w:numPr>
          <w:ilvl w:val="0"/>
          <w:numId w:val="7"/>
        </w:numPr>
        <w:ind w:leftChars="0"/>
      </w:pPr>
      <w:r>
        <w:t>委　員　就労継続支援</w:t>
      </w:r>
      <w:r>
        <w:rPr>
          <w:rFonts w:hint="eastAsia"/>
        </w:rPr>
        <w:t>B</w:t>
      </w:r>
      <w:r>
        <w:rPr>
          <w:rFonts w:hint="eastAsia"/>
        </w:rPr>
        <w:t>型サービス管理責任者</w:t>
      </w:r>
    </w:p>
    <w:p w:rsidR="007B1BB5" w:rsidRDefault="007B1BB5" w:rsidP="007B1BB5">
      <w:pPr>
        <w:pStyle w:val="a3"/>
        <w:ind w:leftChars="0" w:left="780"/>
      </w:pPr>
      <w:r>
        <w:t xml:space="preserve">　　　　生活介護棟　サービス管理責任者</w:t>
      </w:r>
    </w:p>
    <w:p w:rsidR="007B1BB5" w:rsidRDefault="007B1BB5" w:rsidP="007B1BB5">
      <w:pPr>
        <w:pStyle w:val="a3"/>
        <w:ind w:leftChars="0" w:left="780"/>
      </w:pPr>
      <w:r>
        <w:t xml:space="preserve">　　　　グループホームサービス管理責任者</w:t>
      </w:r>
    </w:p>
    <w:p w:rsidR="007B1BB5" w:rsidRDefault="007B1BB5" w:rsidP="007B1BB5">
      <w:pPr>
        <w:pStyle w:val="a3"/>
        <w:ind w:leftChars="0" w:left="780"/>
      </w:pPr>
      <w:r>
        <w:t xml:space="preserve">　　　　法人本部</w:t>
      </w:r>
      <w:r>
        <w:t xml:space="preserve"> </w:t>
      </w:r>
      <w:r>
        <w:t>事務員</w:t>
      </w:r>
    </w:p>
    <w:p w:rsidR="007B1BB5" w:rsidRDefault="007B1BB5" w:rsidP="007B1BB5">
      <w:pPr>
        <w:pStyle w:val="a3"/>
        <w:numPr>
          <w:ilvl w:val="0"/>
          <w:numId w:val="7"/>
        </w:numPr>
        <w:ind w:leftChars="0"/>
      </w:pPr>
      <w:r>
        <w:rPr>
          <w:rFonts w:hint="eastAsia"/>
        </w:rPr>
        <w:t>第三者委員　民生児童委員協議会会長</w:t>
      </w:r>
    </w:p>
    <w:p w:rsidR="007B1BB5" w:rsidRDefault="007B1BB5" w:rsidP="007B1BB5">
      <w:pPr>
        <w:pStyle w:val="a3"/>
        <w:ind w:leftChars="0" w:left="780"/>
      </w:pPr>
      <w:r>
        <w:t xml:space="preserve">　　　　　　民生主任児童委員</w:t>
      </w:r>
    </w:p>
    <w:p w:rsidR="00A767A5" w:rsidRDefault="007B1BB5">
      <w:r>
        <w:t xml:space="preserve">　</w:t>
      </w:r>
      <w:r>
        <w:rPr>
          <w:rFonts w:hint="eastAsia"/>
        </w:rPr>
        <w:t>(</w:t>
      </w:r>
      <w:r>
        <w:rPr>
          <w:rFonts w:hint="eastAsia"/>
        </w:rPr>
        <w:t>苦情等相談受付</w:t>
      </w:r>
      <w:r>
        <w:t>)</w:t>
      </w:r>
    </w:p>
    <w:p w:rsidR="00A767A5" w:rsidRDefault="00F81D97" w:rsidP="00F81D97">
      <w:pPr>
        <w:ind w:left="210" w:hangingChars="100" w:hanging="210"/>
      </w:pPr>
      <w:r>
        <w:t>第</w:t>
      </w:r>
      <w:r>
        <w:t>7</w:t>
      </w:r>
      <w:r>
        <w:t>条　苦情解決委員会は、各種ハラスメントに対する苦情・相談を受け付けた場合は、速やかに委員会を開催し、関係者に対し改善指導等をおこなうものとする。</w:t>
      </w:r>
    </w:p>
    <w:p w:rsidR="00A767A5" w:rsidRDefault="00F81D97" w:rsidP="00F81D97">
      <w:pPr>
        <w:ind w:left="210" w:hangingChars="100" w:hanging="210"/>
      </w:pPr>
      <w:r>
        <w:t>2</w:t>
      </w:r>
      <w:r>
        <w:t xml:space="preserve">　委員会は改善指導等後も改善が見られない場合は、関係機関に報告すると共に、指導を仰ぐものとする。</w:t>
      </w:r>
    </w:p>
    <w:p w:rsidR="00A767A5" w:rsidRDefault="00F81D97">
      <w:r>
        <w:t xml:space="preserve">　</w:t>
      </w:r>
      <w:r>
        <w:rPr>
          <w:rFonts w:hint="eastAsia"/>
        </w:rPr>
        <w:t>(</w:t>
      </w:r>
      <w:r>
        <w:rPr>
          <w:rFonts w:hint="eastAsia"/>
        </w:rPr>
        <w:t>制度の周知等</w:t>
      </w:r>
      <w:r>
        <w:t>)</w:t>
      </w:r>
    </w:p>
    <w:p w:rsidR="00A767A5" w:rsidRDefault="00F81D97">
      <w:r>
        <w:t>第</w:t>
      </w:r>
      <w:r>
        <w:t>8</w:t>
      </w:r>
      <w:r>
        <w:t>条　委員会は、制度の周知のために、厚生労働省が作成したパンフレット等を活用するものとする。</w:t>
      </w:r>
    </w:p>
    <w:p w:rsidR="00F81D97" w:rsidRDefault="00F81D97"/>
    <w:p w:rsidR="00A767A5" w:rsidRDefault="00A767A5"/>
    <w:p w:rsidR="00F81D97" w:rsidRDefault="00F81D97" w:rsidP="00F81D97">
      <w:pPr>
        <w:ind w:firstLineChars="100" w:firstLine="210"/>
      </w:pPr>
      <w:r>
        <w:t>附　　則</w:t>
      </w:r>
    </w:p>
    <w:p w:rsidR="00F81D97" w:rsidRDefault="006F28F5">
      <w:r>
        <w:t>この要綱は、令和</w:t>
      </w:r>
      <w:r>
        <w:t>6</w:t>
      </w:r>
      <w:r>
        <w:t>年</w:t>
      </w:r>
      <w:r>
        <w:t>4</w:t>
      </w:r>
      <w:r>
        <w:t>月</w:t>
      </w:r>
      <w:r>
        <w:t>1</w:t>
      </w:r>
      <w:r>
        <w:t>日より施行する。</w:t>
      </w:r>
    </w:p>
    <w:p w:rsidR="00F81D97" w:rsidRDefault="00F81D97"/>
    <w:p w:rsidR="00F81D97" w:rsidRDefault="00F81D97"/>
    <w:p w:rsidR="00F81D97" w:rsidRDefault="00F81D97"/>
    <w:p w:rsidR="00F81D97" w:rsidRDefault="00F81D97"/>
    <w:p w:rsidR="00F81D97" w:rsidRDefault="00F81D97"/>
    <w:p w:rsidR="00F81D97" w:rsidRDefault="00F81D97"/>
    <w:p w:rsidR="00F81D97" w:rsidRDefault="00F81D97"/>
    <w:p w:rsidR="00F81D97" w:rsidRDefault="00F81D97"/>
    <w:p w:rsidR="00F81D97" w:rsidRDefault="00F81D97"/>
    <w:p w:rsidR="00F81D97" w:rsidRDefault="00F81D97"/>
    <w:p w:rsidR="00F81D97" w:rsidRDefault="00F81D97"/>
    <w:p w:rsidR="00F10B82" w:rsidRDefault="00F10B82"/>
    <w:sectPr w:rsidR="00F10B82" w:rsidSect="00906F5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1138B"/>
    <w:multiLevelType w:val="hybridMultilevel"/>
    <w:tmpl w:val="D5EAEF94"/>
    <w:lvl w:ilvl="0" w:tplc="612E80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C521EA"/>
    <w:multiLevelType w:val="hybridMultilevel"/>
    <w:tmpl w:val="F8C43506"/>
    <w:lvl w:ilvl="0" w:tplc="8682967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813669"/>
    <w:multiLevelType w:val="hybridMultilevel"/>
    <w:tmpl w:val="63FE9FF0"/>
    <w:lvl w:ilvl="0" w:tplc="298C6E3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F5B2D52"/>
    <w:multiLevelType w:val="hybridMultilevel"/>
    <w:tmpl w:val="8CC046A6"/>
    <w:lvl w:ilvl="0" w:tplc="0A744CD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7D17C79"/>
    <w:multiLevelType w:val="hybridMultilevel"/>
    <w:tmpl w:val="2514D252"/>
    <w:lvl w:ilvl="0" w:tplc="C8FE43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4DB39A6"/>
    <w:multiLevelType w:val="hybridMultilevel"/>
    <w:tmpl w:val="C2AE0314"/>
    <w:lvl w:ilvl="0" w:tplc="8FECF9EA">
      <w:start w:val="1"/>
      <w:numFmt w:val="decimal"/>
      <w:lvlText w:val="(%1)"/>
      <w:lvlJc w:val="left"/>
      <w:pPr>
        <w:ind w:left="990" w:hanging="360"/>
      </w:pPr>
      <w:rPr>
        <w:rFonts w:hint="default"/>
      </w:rPr>
    </w:lvl>
    <w:lvl w:ilvl="1" w:tplc="947CCBE2">
      <w:start w:val="1"/>
      <w:numFmt w:val="decimalEnclosedCircle"/>
      <w:lvlText w:val="%2"/>
      <w:lvlJc w:val="left"/>
      <w:pPr>
        <w:ind w:left="1410" w:hanging="360"/>
      </w:pPr>
      <w:rPr>
        <w:rFonts w:ascii="ＭＳ 明朝" w:eastAsia="ＭＳ 明朝" w:hAnsi="ＭＳ 明朝" w:cs="ＭＳ 明朝"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97969C7"/>
    <w:multiLevelType w:val="hybridMultilevel"/>
    <w:tmpl w:val="20C465E6"/>
    <w:lvl w:ilvl="0" w:tplc="A112CE2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2"/>
    <w:rsid w:val="000B585A"/>
    <w:rsid w:val="000E00D8"/>
    <w:rsid w:val="002C4DC6"/>
    <w:rsid w:val="00385E32"/>
    <w:rsid w:val="006F28F5"/>
    <w:rsid w:val="007B1BB5"/>
    <w:rsid w:val="00857E0A"/>
    <w:rsid w:val="00877E41"/>
    <w:rsid w:val="00906F51"/>
    <w:rsid w:val="00946E09"/>
    <w:rsid w:val="00952B91"/>
    <w:rsid w:val="009A41F2"/>
    <w:rsid w:val="009C119B"/>
    <w:rsid w:val="00A767A5"/>
    <w:rsid w:val="00C56CCA"/>
    <w:rsid w:val="00CE3889"/>
    <w:rsid w:val="00E775D6"/>
    <w:rsid w:val="00F10B82"/>
    <w:rsid w:val="00F526DB"/>
    <w:rsid w:val="00F81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D1B2AC-9D4C-44E1-BC79-3B59B15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2</cp:revision>
  <dcterms:created xsi:type="dcterms:W3CDTF">2024-07-11T04:45:00Z</dcterms:created>
  <dcterms:modified xsi:type="dcterms:W3CDTF">2024-07-11T04:45:00Z</dcterms:modified>
</cp:coreProperties>
</file>